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gif" ContentType="image/gi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/>
      </w:pPr>
      <w:r>
        <w:rPr>
          <w:rFonts w:cs="Arial" w:ascii="Arial" w:hAnsi="Arial"/>
        </w:rPr>
        <w:t>Ancona, 23 dicembre 2025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bookmarkStart w:id="0" w:name="__DdeLink__142_354729566"/>
      <w:bookmarkEnd w:id="0"/>
      <w:r>
        <w:rPr>
          <w:rFonts w:cs="Arial" w:ascii="Arial" w:hAnsi="Arial"/>
          <w:b/>
          <w:bCs/>
          <w:color w:val="C00000"/>
        </w:rPr>
        <w:t>META’ MANDATO. I RISULTATI IN CIFRE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INVESTIMENTI LAVORI PUBBLICI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/>
        <w:drawing>
          <wp:inline distT="0" distB="0" distL="0" distR="0">
            <wp:extent cx="5848350" cy="2686050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STRADE: 9,816 MILIONI DI EURO, OLTRE 127 MILA METRI QUADRATI RIQUALIFICATI tra il 2023 e il 2025   (Lavori di asfaltatura, interventi di manutenzione e segnaletica)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Lavori su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Conca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Flaminia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Cristoforo Colombo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Corso Amendola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Corso Stamira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Incrocio Pinocchio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Lungomare Vanvitelli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Ponti della Mole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Portonovo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Antinori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Collodi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Leoni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Macerata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Recanati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Rupi di Via XXIX Settembre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San Gaspare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Verdi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Leopardi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San Gaspare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Santo Stefano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Sanzio – Via Torrioni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Marconi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Mamiani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Incrocio Pinocchio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Scrima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Veneto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XXIX Settembre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XXV Aprile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Zappata (scalinata)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Cavorchie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Marchetti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Fano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Monte San Vicino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Monte Carpegna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Panoramica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Via Villafranca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Interventi su Strade-manutenzione ordinaria-piccola straordinaria (per 2,823 Milioni di euro)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Segnaletica manutenzione ordinaria segnaletica-interventi principali (per 542 mila euro)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Interventi principali realizzati a oggi o in fase di conclusione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Pinacoteca comunale: riaperta a dicembre 2025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Mensa scolastica Candia: attiva da settembre 2025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Nuovo skatepark a Posatora: inaugurato a ottobre 2025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Scalinata Passetto: completata con nuova illuminazione a settembre 2025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Piscina Ponterosso: inaugurata a ottobre 2024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Social Lab degli Archi: inaugurato a novembre 2024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Ciclopedonale del Conero: festa inaugurale ad aprile 2024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Mercato di piazza D’Armi: lavori in corso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Mole Vanvitelliana: ultimi lavori in corso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Piazza della Repubblica: lavori in corso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Arredi Corso Garibaldi: appaltati i lavori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Percorso archeologico dalla Casa del Capitano in porto (realizzata) a piazza Dante (appalto in corso)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Galleria del Risorgimento: intervento sul decoro (graffiti di Run) aprile-luglio 2024; antincendio e pannelli interni a febbraio 2025; consegna lavori per illuminazione interna entro la fine del 2025. 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ALTRI LAVORI REALIZZATI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Rotatorie agli Archi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Asfaltatura Via Marconi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Scalinata Duomo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Scalinata Birarelli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Nuova illuminazione toroidi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PNRR LAVORI CONCLUSI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Progetti totali:</w:t>
      </w:r>
      <w:r>
        <w:rPr>
          <w:rFonts w:cs="Arial" w:ascii="Arial" w:hAnsi="Arial"/>
        </w:rPr>
        <w:t xml:space="preserve"> 21</w:t>
        <w:br/>
      </w:r>
      <w:r>
        <w:rPr>
          <w:rFonts w:cs="Arial" w:ascii="Arial" w:hAnsi="Arial"/>
          <w:b/>
          <w:bCs/>
        </w:rPr>
        <w:t>Investimento complessivo:</w:t>
      </w:r>
      <w:r>
        <w:rPr>
          <w:rFonts w:cs="Arial" w:ascii="Arial" w:hAnsi="Arial"/>
        </w:rPr>
        <w:t xml:space="preserve"> € 14.707.357,27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Manutenzione straordinaria gallerie stradali – impianti tecnologici → € 220.000,00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Efficientamento energetico e adeguamenti impiantistici strutture comunali (2022) → € 210.000,00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Bonifica idraulica e drenaggi profondi – Piede frana Via Flaminia → € 200.000,00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Opere di contenimento e difesa del suolo – Palificate Paterno → € 350.000,00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Corsia autobus e ripristino pavimentazione Piazza Ugo Bassi → € 126.500,00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Rifacimento Via San Martino → € 203.500,00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Manutenzione straordinaria strade e marciapiedi centro storico – Via della Loggia → € 500.000,00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Manutenzione straordinaria marciapiedi comunali → € 300.000,00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Messa in sicurezza falesia di Ancona – Monte Cardeto → € 2.600.000,00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Adeguamento antincendio autorimessa Traiano → € 120.000,00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Adeguamento antincendio Mercato comunale Piazza d’Armi → € 70.860,61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Efficientamento energetico sede Comando Polizia Municipale → € 210.000,00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PNRR – Percorsi di autonomia per persone con disabilità (Piazza Medaglia d’Oro) → € 715.000,00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PNRR – Stazioni di posta (Ambito Sociale XI) → € 1.090.000,00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PNRR – Efficientamento energetico Teatro delle Muse → € 1.413.000,00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PNRR – Efficientamento energetico Teatro Sperimentale → € 585.000,00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Adeguamento sismico Scuola materna Garibaldi → € 1.430.000,00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Adeguamento impiantistico e antincendio edifici comunali vari → € 420.000,00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Adeguamento impiantistico e antincendio scuole comunali Maggini, Alighieri, Marinelli, Tommaseo mazzini, Fermi, Collodi, Socciarelli, Pinocchio, Leopardi, Levi, Giostra → € 120.000,00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Miglioramento sismico scuole Anna Freud, Don Milani e Pascoli → € 331.031,26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Adeguamento sismico Scuola elementare Antognini → € 3.492.465,40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PNRR LAVORI IN CORSO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Palaveneto, 6,6 milioni di euro – lavori al 55%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Cittadella sportiva di Passo Varano: piscina lavori all’83% - 3 milioni di euro | tiro a segno lavori al 25%, 4,8 milioni di euro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Mole lavori all’83% - 3,3 milioni di euro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Mercato delle Erbe lavori al 45% - 5,9 milioni di euro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Biblioteca Benincasa lavori al 97% - 7,7 Milioni di euro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Edilizia scolastica: 5 plessi, 12 milioni di euro. In dirittura d’arrivo mensa scuola leopardi al 73%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GRANDI EVENTI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Meeting trilaterale sulla cooperazione nell’Alto Adriatico (2023)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G7 Salute – ottobre 2024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Festival Extra G7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Erasmus Generation Meeting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Campionati universitari CUS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4 Novembre 2025 – Festa delle Forze Armate con il Presidente Mattarella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Nuova Festa del Mare (2023–2025)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Ulisse Fest (2024–2025)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Popsophia (2024–2025)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Arena sul Mare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Ancona che brilla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Concerti di Capodanno in piazza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StartAn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Festa dello Sport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Concerti allo Stadio (tre sold out solo nel 2025)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TUTTI GLI EVENTI 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466 eventi nel 2025 e 484 nel 2024 gli eventi organizzati dal Comune, da altri enti come teatri o festival, eventi patrocinati e sostenuti tra cultura, sport, sociale, concerti, conferenze, teatro, mostre ecc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65 manifestazioni sportive patrocinate e sostenute nel triennio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CULTURA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300 eventi patrocinati e sostenuti (dal 2023)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70 progetti culturali finanziati 34 nel 2024 e 36 nel 2025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15 mostre organizzate nel 24/25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80 progetti candidatura Capitale Italiana della Cultura 2028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TURISMO E CITY BRANDING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Crescita turistica anno 2025: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+12,7% presenze rispetto all’anno precedente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+45.575 presenze assolute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Turisti stranieri: +20,2%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Ulisse Fest: circa 20.000 presenze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7.640 partecipanti alle visite guidate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Progetti avviati: City branding e nuovo Punto di informazione turistica</w:t>
      </w:r>
    </w:p>
    <w:p>
      <w:pPr>
        <w:pStyle w:val="Normal"/>
        <w:spacing w:lineRule="auto" w:line="36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UNIVERSITÀ E GIOVANI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POSTI LETTO STUDENTI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142 NUOVI posti letto creati (erano 358 nel 2023 e attualmente sono 500)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Previsti 2026: 990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EVENTI E PROGETTI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Giovani accolti (EGM + CUS): oltre 4.000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StartAn: oltre 2.000 partecipanti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9 Startup finanziate 2025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Investimento: 150.000 €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Abbonamenti TPL studenti (2024): 2.872</w:t>
      </w:r>
    </w:p>
    <w:p>
      <w:pPr>
        <w:pStyle w:val="Normal"/>
        <w:spacing w:lineRule="auto" w:line="360"/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SICUREZZA E PROTEZIONE CIVILE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445 telecamere attive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111 nuove telecamere installate (2024–2025)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Sala operativa completamente rinnovata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Polizia Locale: circa 100 unità alcune dotate di armi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Turni notturni PL 2025: 18 notti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Veicoli PL protetti: 5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Piano Comunale di Protezione Civile approvato l’11 giugno 2025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Reperibilità H24 attiva dal 1° gennaio 2025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Apertura nuovo presidio Vigili al Piano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EMERGENZE E ATTIVITÀ DI PROTEZIONE CIVILE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Gestiti 6 sbarchi di navi ONG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Totale migranti accolti: 679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Sisma 2022: 484 sopralluoghi effettuati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Avviate e gestite le relative pratiche tecniche e amministrative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Alluvione 2024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Somma urgenza: 330.000 €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Ristori in corso: 600.000 €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Manutenzione straordinaria dei fossi per idraulica e prevenzione: 150.000 €</w:t>
      </w:r>
    </w:p>
    <w:p>
      <w:pPr>
        <w:pStyle w:val="Normal"/>
        <w:spacing w:lineRule="auto" w:line="360"/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SOCIALE, SCUOLA E FAMIGLIA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Scuolabus elettrici: 5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Bonus Utenze: 300.000 EURO PER circa 1000 famiglie coinvolte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575 minori seguiti su indicazione del Tribunale: 575 (in aumento)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Riattivato il Tavolo Minori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Alloggi assegnati 2023–2025: 190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Alloggi PNRR anziani non autosufficienti: 17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Colonie feline monitorate: circa 900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Nidi: tariffe calmierate 54 esenzioni totali finanziate con 258.213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Centri estivi: 700 iscritti (record storico)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Mensa scolastica: 3.600 pasti/giorno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80% biologico → bollino oro nazionale</w:t>
      </w:r>
    </w:p>
    <w:p>
      <w:pPr>
        <w:pStyle w:val="Normal"/>
        <w:spacing w:lineRule="auto" w:line="360"/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DIGITALIZZAZIONE</w:t>
      </w:r>
    </w:p>
    <w:p>
      <w:pPr>
        <w:pStyle w:val="Normal"/>
        <w:numPr>
          <w:ilvl w:val="0"/>
          <w:numId w:val="1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194 servizi digitali attivati</w:t>
      </w:r>
    </w:p>
    <w:p>
      <w:pPr>
        <w:pStyle w:val="Normal"/>
        <w:numPr>
          <w:ilvl w:val="0"/>
          <w:numId w:val="1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Attivazioni SPID:</w:t>
        <w:br/>
        <w:t>da 3 a 276 (il Comune è diventato Rao).</w:t>
      </w:r>
    </w:p>
    <w:p>
      <w:pPr>
        <w:pStyle w:val="Normal"/>
        <w:numPr>
          <w:ilvl w:val="0"/>
          <w:numId w:val="16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Certificati Stato Civile digitali: da 8.141 a 12.859</w:t>
      </w:r>
    </w:p>
    <w:p>
      <w:pPr>
        <w:pStyle w:val="Normal"/>
        <w:spacing w:lineRule="auto" w:line="360"/>
        <w:ind w:left="72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PERSONALE COMUNALE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Nuove assunzioni 2023–2025: </w:t>
      </w:r>
      <w:r>
        <w:rPr>
          <w:rFonts w:cs="Arial" w:ascii="Arial" w:hAnsi="Arial"/>
          <w:b/>
          <w:bCs/>
        </w:rPr>
        <w:t>253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Dipendenti: fine 2023 erano 725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Previsti fine 2025: 780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L’incremento ha riguardato in particolare la </w:t>
      </w:r>
      <w:r>
        <w:rPr>
          <w:rFonts w:cs="Arial" w:ascii="Arial" w:hAnsi="Arial"/>
          <w:b/>
          <w:bCs/>
        </w:rPr>
        <w:t>Polizia Locale,</w:t>
      </w:r>
      <w:r>
        <w:rPr>
          <w:rFonts w:cs="Arial" w:ascii="Arial" w:hAnsi="Arial"/>
        </w:rPr>
        <w:t xml:space="preserve"> che </w:t>
      </w:r>
      <w:r>
        <w:rPr>
          <w:rFonts w:cs="Arial" w:ascii="Arial" w:hAnsi="Arial"/>
          <w:b/>
          <w:bCs/>
        </w:rPr>
        <w:t xml:space="preserve">si avvicina alle 100 unità </w:t>
      </w:r>
      <w:r>
        <w:rPr>
          <w:rFonts w:cs="Arial" w:ascii="Arial" w:hAnsi="Arial"/>
        </w:rPr>
        <w:t xml:space="preserve">previste a inizio mandato, e i </w:t>
      </w:r>
      <w:r>
        <w:rPr>
          <w:rFonts w:cs="Arial" w:ascii="Arial" w:hAnsi="Arial"/>
          <w:b/>
          <w:bCs/>
        </w:rPr>
        <w:t>servizi tecnici</w:t>
      </w:r>
      <w:r>
        <w:rPr>
          <w:rFonts w:cs="Arial" w:ascii="Arial" w:hAnsi="Arial"/>
        </w:rPr>
        <w:t>, per garantire capacità organizzativa e risposta efficace alle esigenze della città, soprattutto in termini di sicurezza, manutenzioni e cura del decoro.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pt;height:1.45pt">
                <w10:wrap type="none"/>
                <v:fill type="solid" color2="#5f5f5f" o:detectmouseclick="t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BILANCIO – I NUMERI CHIAVE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72,9 milioni € di investimenti nel 2026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Oltre 100 milioni € nel triennio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11 milioni € per manutenzioni 2025–2026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Welfare e istruzione sostenuti come mai prima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29,9 milioni € welfare (2026)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7,8 milioni € diritto allo studio (+900.000 €)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567" w:top="1134" w:footer="567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  <w:t xml:space="preserve">Ufficio Stampa Comune di Ancona 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  <w:t xml:space="preserve">Dott.ssa Maria Margherita Rinaldi margherita.rinaldi@comune.ancona.it (071 2222361) - Dott.ssa Rosanna Tomassini rosanna.tomassini@comune.ancona.it (071 2222316) - Dott.ssa Federica Zandri federica.zandri@comune.ancona.it (071 2222321) - Dott.ssa Nicoletta Canapa nicoletta.canapa@comune.ancona.it (071 2222394) – Segreteria sig.ra Lorella Alba lorella.alba@comune.ancona.it 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</w:r>
  </w:p>
  <w:p>
    <w:pPr>
      <w:pStyle w:val="Pidipagina"/>
      <w:jc w:val="both"/>
      <w:rPr>
        <w:rFonts w:ascii="Arial" w:hAnsi="Arial" w:cs="Arial"/>
        <w:b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  <w:t>Ufficio Stampa Erdis</w:t>
    </w:r>
  </w:p>
  <w:p>
    <w:pPr>
      <w:pStyle w:val="Pidipagina"/>
      <w:jc w:val="both"/>
      <w:rPr>
        <w:rFonts w:ascii="Arial" w:hAnsi="Arial" w:cs="Arial"/>
        <w:sz w:val="18"/>
        <w:szCs w:val="16"/>
      </w:rPr>
    </w:pPr>
    <w:r>
      <w:rPr>
        <w:rFonts w:cs="Arial" w:ascii="Arial" w:hAnsi="Arial"/>
        <w:sz w:val="18"/>
        <w:szCs w:val="16"/>
      </w:rPr>
      <w:t>Dott. Emanuele Maffei – 3391094601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93" w:type="dxa"/>
      <w:jc w:val="left"/>
      <w:tblInd w:w="45" w:type="dxa"/>
      <w:tblBorders/>
      <w:tblCellMar>
        <w:top w:w="55" w:type="dxa"/>
        <w:left w:w="55" w:type="dxa"/>
        <w:bottom w:w="55" w:type="dxa"/>
        <w:right w:w="55" w:type="dxa"/>
      </w:tblCellMar>
      <w:tblLook w:noVBand="1" w:val="04a0" w:noHBand="0" w:lastColumn="0" w:firstColumn="1" w:lastRow="0" w:firstRow="1"/>
    </w:tblPr>
    <w:tblGrid>
      <w:gridCol w:w="1931"/>
      <w:gridCol w:w="7661"/>
    </w:tblGrid>
    <w:tr>
      <w:trPr/>
      <w:tc>
        <w:tcPr>
          <w:tcW w:w="1931" w:type="dxa"/>
          <w:vMerge w:val="restart"/>
          <w:tcBorders/>
          <w:shd w:color="auto" w:fill="FFFFFF" w:val="clear"/>
        </w:tcPr>
        <w:p>
          <w:pPr>
            <w:pStyle w:val="Contenutotabella"/>
            <w:rPr/>
          </w:pPr>
          <w:r>
            <w:rPr/>
            <w:drawing>
              <wp:inline distT="0" distB="0" distL="0" distR="0">
                <wp:extent cx="920115" cy="991235"/>
                <wp:effectExtent l="0" t="0" r="0" b="0"/>
                <wp:docPr id="3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1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Contenutotabella"/>
            <w:rPr/>
          </w:pPr>
          <w:r>
            <w:rPr/>
          </w:r>
        </w:p>
      </w:tc>
      <w:tc>
        <w:tcPr>
          <w:tcW w:w="7661" w:type="dxa"/>
          <w:tcBorders/>
          <w:shd w:color="auto" w:fill="FFFFFF" w:val="clear"/>
        </w:tcPr>
        <w:p>
          <w:pPr>
            <w:pStyle w:val="Contenutotabella"/>
            <w:jc w:val="right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</w:r>
        </w:p>
      </w:tc>
    </w:tr>
    <w:tr>
      <w:trPr/>
      <w:tc>
        <w:tcPr>
          <w:tcW w:w="1931" w:type="dxa"/>
          <w:vMerge w:val="continue"/>
          <w:tcBorders/>
          <w:shd w:color="auto" w:fill="FFFFFF" w:val="clear"/>
        </w:tcPr>
        <w:p>
          <w:pPr>
            <w:pStyle w:val="Normale1"/>
            <w:rPr/>
          </w:pPr>
          <w:r>
            <w:rPr/>
          </w:r>
        </w:p>
      </w:tc>
      <w:tc>
        <w:tcPr>
          <w:tcW w:w="7661" w:type="dxa"/>
          <w:tcBorders/>
          <w:shd w:color="auto" w:fill="FFFFFF" w:val="clear"/>
        </w:tcPr>
        <w:p>
          <w:pPr>
            <w:pStyle w:val="Contenutotabella"/>
            <w:jc w:val="right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Comune di Ancona</w:t>
          </w:r>
        </w:p>
        <w:p>
          <w:pPr>
            <w:pStyle w:val="Contenutotabella"/>
            <w:jc w:val="right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UFFICIO STAMPA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db0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Titolo1">
    <w:name w:val="Titolo 1"/>
    <w:basedOn w:val="Titoloprincipale"/>
    <w:uiPriority w:val="9"/>
    <w:qFormat/>
    <w:pPr>
      <w:outlineLvl w:val="0"/>
    </w:pPr>
    <w:rPr/>
  </w:style>
  <w:style w:type="paragraph" w:styleId="Titolo2">
    <w:name w:val="Titolo 2"/>
    <w:basedOn w:val="Titoloprincipale"/>
    <w:uiPriority w:val="9"/>
    <w:semiHidden/>
    <w:unhideWhenUsed/>
    <w:qFormat/>
    <w:pPr>
      <w:spacing w:before="200" w:after="120"/>
      <w:outlineLvl w:val="1"/>
    </w:pPr>
    <w:rPr/>
  </w:style>
  <w:style w:type="paragraph" w:styleId="Titolo3">
    <w:name w:val="Titolo 3"/>
    <w:basedOn w:val="Titoloprincipale"/>
    <w:uiPriority w:val="9"/>
    <w:semiHidden/>
    <w:unhideWhenUsed/>
    <w:qFormat/>
    <w:p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dellanota" w:customStyle="1">
    <w:name w:val="Carattere della not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>
      <w:rFonts w:cs="Mangal"/>
      <w:szCs w:val="21"/>
    </w:rPr>
  </w:style>
  <w:style w:type="character" w:styleId="CollegamentoInternet" w:customStyle="1">
    <w:name w:val="Collegamento Internet"/>
    <w:basedOn w:val="DefaultParagraphFont"/>
    <w:uiPriority w:val="99"/>
    <w:unhideWhenUsed/>
    <w:rsid w:val="00506775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cd0f19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67ec2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f0f18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0f0f18"/>
    <w:rPr>
      <w:rFonts w:cs="Mangal"/>
      <w:sz w:val="20"/>
      <w:szCs w:val="18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0f0f18"/>
    <w:rPr>
      <w:rFonts w:cs="Mangal"/>
      <w:b/>
      <w:bCs/>
      <w:sz w:val="20"/>
      <w:szCs w:val="18"/>
    </w:rPr>
  </w:style>
  <w:style w:type="character" w:styleId="CorpotestoCarattere" w:customStyle="1">
    <w:name w:val="Corpo testo Carattere"/>
    <w:basedOn w:val="DefaultParagraphFont"/>
    <w:link w:val="Corpodeltesto"/>
    <w:qFormat/>
    <w:rsid w:val="005d7ec0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466a75"/>
    <w:rPr>
      <w:color w:val="954F72" w:themeColor="followed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eastAsia="SimSun" w:cs="Calibri"/>
    </w:rPr>
  </w:style>
  <w:style w:type="character" w:styleId="ListLabel3" w:customStyle="1">
    <w:name w:val="ListLabel 3"/>
    <w:qFormat/>
    <w:rPr>
      <w:sz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d1ee7"/>
    <w:rPr>
      <w:rFonts w:ascii="Segoe UI" w:hAnsi="Segoe UI" w:cs="Mangal"/>
      <w:color w:val="00000A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6775"/>
    <w:rPr>
      <w:color w:val="605E5C"/>
      <w:shd w:fill="E1DFDD" w:val="clear"/>
    </w:rPr>
  </w:style>
  <w:style w:type="character" w:styleId="ListLabel4" w:customStyle="1">
    <w:name w:val="ListLabel 4"/>
    <w:qFormat/>
    <w:rPr>
      <w:sz w:val="20"/>
    </w:rPr>
  </w:style>
  <w:style w:type="character" w:styleId="Enfasiforte" w:customStyle="1">
    <w:name w:val="Enfasi forte"/>
    <w:rPr>
      <w:b/>
      <w:bCs/>
    </w:rPr>
  </w:style>
  <w:style w:type="character" w:styleId="ListLabel5">
    <w:name w:val="ListLabel 5"/>
    <w:qFormat/>
    <w:rPr>
      <w:rFonts w:ascii="Arial" w:hAnsi="Arial"/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basedOn w:val="Normal"/>
    <w:link w:val="CorpotestoCarattere"/>
    <w:pPr>
      <w:widowControl w:val="false"/>
      <w:spacing w:lineRule="auto" w:line="288" w:before="0" w:after="140"/>
    </w:pPr>
    <w:rPr/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</w:pPr>
    <w:rPr/>
  </w:style>
  <w:style w:type="paragraph" w:styleId="Titoloprincipale" w:customStyle="1">
    <w:name w:val="Titolo principale"/>
    <w:basedOn w:val="Normal"/>
    <w:uiPriority w:val="10"/>
    <w:qFormat/>
    <w:pPr>
      <w:widowControl w:val="false"/>
      <w:jc w:val="center"/>
    </w:pPr>
    <w:rPr>
      <w:b/>
      <w:bCs/>
      <w:sz w:val="56"/>
      <w:szCs w:val="56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  <w:textAlignment w:val="baseline"/>
    </w:pPr>
    <w:rPr>
      <w:rFonts w:ascii="Liberation Serif" w:hAnsi="Liberation Serif" w:eastAsia="SimSun" w:cs="Lucida Sans"/>
      <w:i/>
      <w:iCs/>
      <w:color w:val="00000A"/>
      <w:sz w:val="24"/>
      <w:szCs w:val="24"/>
      <w:lang w:val="it-IT" w:eastAsia="zh-CN" w:bidi="hi-IN"/>
    </w:rPr>
  </w:style>
  <w:style w:type="paragraph" w:styleId="Normale1" w:customStyle="1">
    <w:name w:val="Normale1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it-IT" w:eastAsia="zh-CN" w:bidi="hi-IN"/>
    </w:rPr>
  </w:style>
  <w:style w:type="paragraph" w:styleId="Titolo11" w:customStyle="1">
    <w:name w:val="Titolo1"/>
    <w:basedOn w:val="Normale1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itazione1" w:customStyle="1">
    <w:name w:val="Citazione1"/>
    <w:basedOn w:val="Normale1"/>
    <w:qFormat/>
    <w:pPr>
      <w:spacing w:before="0" w:after="283"/>
      <w:ind w:left="567" w:right="567" w:hanging="0"/>
    </w:pPr>
    <w:rPr/>
  </w:style>
  <w:style w:type="paragraph" w:styleId="Sottotitolo">
    <w:name w:val="Sottotitolo"/>
    <w:basedOn w:val="Titolo11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Intestazione">
    <w:name w:val="Intestazione"/>
    <w:basedOn w:val="Normale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e1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Piè di pagina"/>
    <w:basedOn w:val="Normale1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e1684"/>
    <w:pPr>
      <w:widowControl w:val="false"/>
      <w:spacing w:before="0" w:after="0"/>
      <w:ind w:left="720" w:hanging="0"/>
      <w:contextualSpacing/>
      <w:textAlignment w:val="auto"/>
    </w:pPr>
    <w:rPr>
      <w:rFonts w:ascii="Times New Roman" w:hAnsi="Times New Roman" w:eastAsia="Andale Sans UI" w:cs="Tahoma"/>
      <w:lang w:eastAsia="en-US" w:bidi="en-US"/>
    </w:rPr>
  </w:style>
  <w:style w:type="paragraph" w:styleId="Western" w:customStyle="1">
    <w:name w:val="western"/>
    <w:basedOn w:val="Normal"/>
    <w:qFormat/>
    <w:rsid w:val="002e7f57"/>
    <w:pPr>
      <w:spacing w:beforeAutospacing="1" w:afterAutospacing="1"/>
      <w:textAlignment w:val="auto"/>
    </w:pPr>
    <w:rPr>
      <w:rFonts w:ascii="Times New Roman" w:hAnsi="Times New Roman" w:eastAsia="Times New Roman" w:cs="Times New Roman"/>
      <w:lang w:eastAsia="it-IT" w:bidi="ar-SA"/>
    </w:rPr>
  </w:style>
  <w:style w:type="paragraph" w:styleId="NormalWeb">
    <w:name w:val="Normal (Web)"/>
    <w:basedOn w:val="Normal"/>
    <w:uiPriority w:val="99"/>
    <w:qFormat/>
    <w:rsid w:val="00567ec2"/>
    <w:pPr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f0f18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f0f18"/>
    <w:pPr/>
    <w:rPr>
      <w:b/>
      <w:bCs/>
    </w:rPr>
  </w:style>
  <w:style w:type="paragraph" w:styleId="Quotations" w:customStyle="1">
    <w:name w:val="Quotations"/>
    <w:basedOn w:val="Normal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d1ee7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c55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64D7-3D32-4196-8AB1-EE0325E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LibreOffice/4.4.7.2$Windows_x86 LibreOffice_project/f3153a8b245191196a4b6b9abd1d0da16eead600</Application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2025-12-22T15:09:00Z</dcterms:created>
  <dc:creator>Canapa Nicoletta</dc:creator>
  <dc:language>it-IT</dc:language>
  <cp:lastPrinted>2025-11-10T09:24:00Z</cp:lastPrinted>
  <dcterms:modified xsi:type="dcterms:W3CDTF">2025-12-23T10:18:10Z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