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Default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GABRIELE SIMONGINI è storico dell’arte, saggista e curatore di mostre. </w:t>
      </w:r>
    </w:p>
    <w:p>
      <w:pPr>
        <w:pStyle w:val="Default"/>
        <w:jc w:val="both"/>
        <w:rPr>
          <w:sz w:val="27"/>
          <w:szCs w:val="27"/>
        </w:rPr>
      </w:pPr>
      <w:r>
        <w:rPr>
          <w:strike w:val="false"/>
          <w:dstrike w:val="false"/>
          <w:sz w:val="27"/>
          <w:szCs w:val="27"/>
          <w:u w:val="none"/>
        </w:rPr>
        <w:t xml:space="preserve">E’ Docente ordinario di Storia dell’Arte presso l’Accademia di Belle Arti di Roma dove nel 2018-2019 è stato anche Vicedirettore e Consigliere Accademico. </w:t>
      </w:r>
    </w:p>
    <w:p>
      <w:pPr>
        <w:pStyle w:val="Default"/>
        <w:jc w:val="both"/>
        <w:rPr>
          <w:sz w:val="27"/>
          <w:szCs w:val="27"/>
        </w:rPr>
      </w:pPr>
      <w:r>
        <w:rPr>
          <w:strike w:val="false"/>
          <w:dstrike w:val="false"/>
          <w:sz w:val="27"/>
          <w:szCs w:val="27"/>
          <w:u w:val="none"/>
        </w:rPr>
        <w:t xml:space="preserve">Ha insegnato all’Università degli studi di Roma Tor Vergata e alla Link Campus University. </w:t>
      </w:r>
    </w:p>
    <w:p>
      <w:pPr>
        <w:pStyle w:val="Default"/>
        <w:jc w:val="both"/>
        <w:rPr>
          <w:sz w:val="27"/>
          <w:szCs w:val="27"/>
        </w:rPr>
      </w:pPr>
      <w:r>
        <w:rPr>
          <w:strike w:val="false"/>
          <w:dstrike w:val="false"/>
          <w:sz w:val="27"/>
          <w:szCs w:val="27"/>
          <w:u w:val="none"/>
        </w:rPr>
        <w:t xml:space="preserve">Fa parte dei Comitati scientifici dell’Imago Museum di Pescara (dal 2021), della Fondazione Toti Scialoja (dal 2016) e dell’Archivio Vinicio Berti (dal 2021). </w:t>
      </w:r>
    </w:p>
    <w:p>
      <w:pPr>
        <w:pStyle w:val="Default"/>
        <w:jc w:val="both"/>
        <w:rPr>
          <w:sz w:val="27"/>
          <w:szCs w:val="27"/>
        </w:rPr>
      </w:pPr>
      <w:r>
        <w:rPr>
          <w:strike w:val="false"/>
          <w:dstrike w:val="false"/>
          <w:sz w:val="27"/>
          <w:szCs w:val="27"/>
          <w:u w:val="none"/>
        </w:rPr>
        <w:t xml:space="preserve">Dal 2019 al 2021 è stato consulente artistico della Fondazione Terzo Pilastro – Internazionale, occupandosi del coordinamento direttivo, scientifico, comunicativo ed organizzativo delle attività espositive di Palazzo Cipolla, a Roma. </w:t>
      </w:r>
    </w:p>
    <w:p>
      <w:pPr>
        <w:pStyle w:val="Default"/>
        <w:jc w:val="both"/>
        <w:rPr>
          <w:sz w:val="27"/>
          <w:szCs w:val="27"/>
        </w:rPr>
      </w:pPr>
      <w:r>
        <w:rPr>
          <w:strike w:val="false"/>
          <w:dstrike w:val="false"/>
          <w:sz w:val="27"/>
          <w:szCs w:val="27"/>
          <w:u w:val="none"/>
        </w:rPr>
        <w:t xml:space="preserve">Ha fatto parte del Comitato di Studi per il Padiglione Italia della 54a Biennale Arti Visive di Venezia (2011). </w:t>
      </w:r>
    </w:p>
    <w:p>
      <w:pPr>
        <w:pStyle w:val="Default"/>
        <w:jc w:val="both"/>
        <w:rPr>
          <w:sz w:val="27"/>
          <w:szCs w:val="27"/>
        </w:rPr>
      </w:pPr>
      <w:r>
        <w:rPr>
          <w:strike w:val="false"/>
          <w:dstrike w:val="false"/>
          <w:sz w:val="27"/>
          <w:szCs w:val="27"/>
          <w:u w:val="none"/>
        </w:rPr>
        <w:t xml:space="preserve">E’ stato nominato Commissario per la mostra “Anteprima”, svoltasi alla Promotrice di Torino dal 18 gennaio al 21 marzo 2004, nell’ambito della XIV Quadriennale Nazionale d’Arte. </w:t>
      </w:r>
    </w:p>
    <w:p>
      <w:pPr>
        <w:pStyle w:val="Default"/>
        <w:jc w:val="both"/>
        <w:rPr>
          <w:sz w:val="27"/>
          <w:szCs w:val="27"/>
        </w:rPr>
      </w:pPr>
      <w:r>
        <w:rPr>
          <w:strike w:val="false"/>
          <w:dstrike w:val="false"/>
          <w:sz w:val="27"/>
          <w:szCs w:val="27"/>
          <w:u w:val="none"/>
        </w:rPr>
        <w:t xml:space="preserve">E’ uno dei maggiori esperti italiani di astrattismo (fra i suoi libri, “Astrattismo italiano”, De Luca, Roma 2004). </w:t>
      </w:r>
    </w:p>
    <w:p>
      <w:pPr>
        <w:pStyle w:val="Default"/>
        <w:jc w:val="both"/>
        <w:rPr>
          <w:sz w:val="27"/>
          <w:szCs w:val="27"/>
        </w:rPr>
      </w:pPr>
      <w:r>
        <w:rPr>
          <w:strike w:val="false"/>
          <w:dstrike w:val="false"/>
          <w:sz w:val="27"/>
          <w:szCs w:val="27"/>
          <w:u w:val="none"/>
        </w:rPr>
        <w:t xml:space="preserve">E’ critico d’arte del quotidiano “Il Tempo”. Nel 2001 è stato segnalato come miglior critico d’arte italiano sul “Giornale dell’Arte”. </w:t>
      </w:r>
    </w:p>
    <w:p>
      <w:pPr>
        <w:pStyle w:val="Default"/>
        <w:jc w:val="both"/>
        <w:rPr>
          <w:sz w:val="27"/>
          <w:szCs w:val="27"/>
        </w:rPr>
      </w:pPr>
      <w:r>
        <w:rPr>
          <w:strike w:val="false"/>
          <w:dstrike w:val="false"/>
          <w:sz w:val="27"/>
          <w:szCs w:val="27"/>
          <w:u w:val="none"/>
        </w:rPr>
        <w:t xml:space="preserve">Fra le ultime mostre da lui curate: </w:t>
      </w:r>
    </w:p>
    <w:p>
      <w:pPr>
        <w:pStyle w:val="Default"/>
        <w:jc w:val="both"/>
        <w:rPr>
          <w:strike w:val="false"/>
          <w:dstrike w:val="false"/>
          <w:sz w:val="27"/>
          <w:szCs w:val="27"/>
          <w:u w:val="none"/>
        </w:rPr>
      </w:pPr>
      <w:r>
        <w:rPr>
          <w:strike w:val="false"/>
          <w:dstrike w:val="false"/>
          <w:sz w:val="27"/>
          <w:szCs w:val="27"/>
          <w:u w:val="none"/>
        </w:rPr>
        <w:t>“</w:t>
      </w:r>
      <w:r>
        <w:rPr>
          <w:strike w:val="false"/>
          <w:dstrike w:val="false"/>
          <w:sz w:val="27"/>
          <w:szCs w:val="27"/>
          <w:u w:val="none"/>
        </w:rPr>
        <w:t xml:space="preserve">Pablo Atchugarry. Scolpire la Luce”, dal 19 maggio al 21 giugno 2026, alla Galleria Nazionale d’Arte Moderna e Contemporanea di Roma. </w:t>
      </w:r>
    </w:p>
    <w:p>
      <w:pPr>
        <w:pStyle w:val="Default"/>
        <w:jc w:val="both"/>
        <w:rPr>
          <w:strike w:val="false"/>
          <w:dstrike w:val="false"/>
          <w:sz w:val="27"/>
          <w:szCs w:val="27"/>
          <w:u w:val="none"/>
        </w:rPr>
      </w:pPr>
      <w:r>
        <w:rPr>
          <w:strike w:val="false"/>
          <w:dstrike w:val="false"/>
          <w:sz w:val="27"/>
          <w:szCs w:val="27"/>
          <w:u w:val="none"/>
        </w:rPr>
        <w:t>“</w:t>
      </w:r>
      <w:r>
        <w:rPr>
          <w:strike w:val="false"/>
          <w:dstrike w:val="false"/>
          <w:sz w:val="27"/>
          <w:szCs w:val="27"/>
          <w:u w:val="none"/>
        </w:rPr>
        <w:t xml:space="preserve">Da Burri a Cattelan 1970-2025. Capolavori della Galleria Nazionale d’Arte Moderna e Contemporanea”, dal 25 ottobre 2025 al 2 giugno 2026, Fondazione Puglisi Cosentino, Catania. </w:t>
      </w:r>
    </w:p>
    <w:p>
      <w:pPr>
        <w:pStyle w:val="Default"/>
        <w:jc w:val="both"/>
        <w:rPr>
          <w:sz w:val="27"/>
          <w:szCs w:val="27"/>
        </w:rPr>
      </w:pPr>
      <w:r>
        <w:rPr>
          <w:strike w:val="false"/>
          <w:dstrike w:val="false"/>
          <w:sz w:val="27"/>
          <w:szCs w:val="27"/>
          <w:u w:val="none"/>
        </w:rPr>
        <w:t>“</w:t>
      </w:r>
      <w:r>
        <w:rPr>
          <w:strike w:val="false"/>
          <w:dstrike w:val="false"/>
          <w:sz w:val="27"/>
          <w:szCs w:val="27"/>
          <w:u w:val="none"/>
        </w:rPr>
        <w:t xml:space="preserve">East and West”, dal 14 luglio al 15 settembre 2025, alla Galleria Nazionale d’Arte Moderna e Contemporanea di Roma. </w:t>
      </w:r>
    </w:p>
    <w:p>
      <w:pPr>
        <w:pStyle w:val="Default"/>
        <w:spacing w:lineRule="auto" w:line="240"/>
        <w:jc w:val="both"/>
        <w:rPr>
          <w:b w:val="false"/>
          <w:bCs w:val="false"/>
        </w:rPr>
      </w:pPr>
      <w:r>
        <w:rPr>
          <w:b w:val="false"/>
          <w:bCs w:val="false"/>
          <w:strike w:val="false"/>
          <w:dstrike w:val="false"/>
          <w:sz w:val="28"/>
          <w:u w:val="none"/>
        </w:rPr>
        <w:t>“</w:t>
      </w:r>
      <w:r>
        <w:rPr>
          <w:b w:val="false"/>
          <w:bCs w:val="false"/>
          <w:strike w:val="false"/>
          <w:dstrike w:val="false"/>
          <w:sz w:val="28"/>
          <w:u w:val="none"/>
        </w:rPr>
        <w:t xml:space="preserve">Wang Yancheng. Luce, energia, infinito”, dal 24 giugno al 21 settembre 2025, alla Galleria dell’Accademia di Firenze. </w:t>
      </w:r>
    </w:p>
    <w:p>
      <w:pPr>
        <w:pStyle w:val="Default"/>
        <w:spacing w:lineRule="auto" w:line="240"/>
        <w:jc w:val="both"/>
        <w:rPr>
          <w:b w:val="false"/>
          <w:bCs w:val="false"/>
          <w:strike w:val="false"/>
          <w:dstrike w:val="false"/>
          <w:sz w:val="28"/>
          <w:u w:val="none"/>
        </w:rPr>
      </w:pPr>
      <w:r>
        <w:rPr>
          <w:b w:val="false"/>
          <w:bCs w:val="false"/>
          <w:strike w:val="false"/>
          <w:dstrike w:val="false"/>
          <w:sz w:val="28"/>
          <w:u w:val="none"/>
        </w:rPr>
        <w:t>“</w:t>
      </w:r>
      <w:r>
        <w:rPr>
          <w:b w:val="false"/>
          <w:bCs w:val="false"/>
          <w:strike w:val="false"/>
          <w:dstrike w:val="false"/>
          <w:sz w:val="28"/>
          <w:u w:val="none"/>
        </w:rPr>
        <w:t xml:space="preserve">Il Tempo del Futurismo”, dal 2 dicembre 2024 al 27 aprile 2025, alla Galleria </w:t>
      </w:r>
      <w:r>
        <w:rPr>
          <w:rFonts w:ascii="Calibri" w:hAnsi="Calibri"/>
          <w:b w:val="false"/>
          <w:bCs w:val="false"/>
          <w:strike w:val="false"/>
          <w:dstrike w:val="false"/>
          <w:sz w:val="27"/>
          <w:szCs w:val="27"/>
          <w:u w:val="none"/>
        </w:rPr>
        <w:t xml:space="preserve">Nazionale d’Arte Moderna e Contemporanea di Roma, che ha stabilito il record di visitatori per la GNAMC con quasi 165.000 biglietti. </w:t>
      </w:r>
    </w:p>
    <w:p>
      <w:pPr>
        <w:pStyle w:val="Default"/>
        <w:spacing w:lineRule="auto" w:line="240"/>
        <w:jc w:val="both"/>
        <w:rPr>
          <w:rFonts w:ascii="Calibri" w:hAnsi="Calibri"/>
          <w:b w:val="false"/>
          <w:bCs w:val="false"/>
          <w:strike w:val="false"/>
          <w:dstrike w:val="false"/>
          <w:sz w:val="8"/>
          <w:szCs w:val="8"/>
          <w:u w:val="none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8"/>
          <w:szCs w:val="8"/>
          <w:u w:val="none"/>
        </w:rPr>
      </w:r>
    </w:p>
    <w:p>
      <w:pPr>
        <w:pStyle w:val="Default"/>
        <w:spacing w:lineRule="auto" w:line="240"/>
        <w:jc w:val="both"/>
        <w:rPr>
          <w:rFonts w:ascii="Calibri" w:hAnsi="Calibri" w:cs="Arial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7"/>
          <w:szCs w:val="27"/>
        </w:rPr>
      </w:pPr>
      <w:r>
        <w:rPr>
          <w:rFonts w:cs="Arial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7"/>
          <w:szCs w:val="27"/>
          <w:u w:val="none"/>
        </w:rPr>
        <w:t xml:space="preserve">Ha curato decine di mostre nei maggiori musei italiani su gruppi come il “Die Brücke”, il Futurismo, l’Art Club, “Forma 1”, “La Scuola di Piazza del Popolo” o dedicate ad artisti come Afro, Balla, Bendini, Bonalumi, Calabria, Dorazio, Galliani, Matta, Paladino, Scialoja, Severini, Turcato, Wang Yancheng, solo per dirne alcuni. I suoi ultimi saggi sono “Arte e identità della specie umana” (Manfredi Edizioni, 2021), “Costruttori di mondi” per il catalogo della mostra “Ipotesi Metaverso” tenutasi a Roma, a Palazzo Cipolla (2023), “Il Futurismo è oggi” per il catalogo Treccani della mostra alla GNAMC di Roma e il testo introduttivo alla nuova edizione di: E. Settimelli, “Marinetti. L’uomo e l’artista”, Historica Edizioni, 2025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567" w:top="1134" w:footer="567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Arial" w:hAnsi="Arial" w:cs="Arial"/>
        <w:b/>
        <w:bCs/>
        <w:sz w:val="18"/>
        <w:szCs w:val="16"/>
      </w:rPr>
    </w:pPr>
    <w:r>
      <w:rPr>
        <w:rFonts w:cs="Arial" w:ascii="Arial" w:hAnsi="Arial"/>
        <w:b/>
        <w:bCs/>
        <w:sz w:val="18"/>
        <w:szCs w:val="16"/>
      </w:rPr>
    </w:r>
  </w:p>
  <w:p>
    <w:pPr>
      <w:pStyle w:val="Footer"/>
      <w:jc w:val="both"/>
      <w:rPr>
        <w:rFonts w:ascii="Arial" w:hAnsi="Arial" w:cs="Arial"/>
        <w:b/>
        <w:bCs/>
        <w:sz w:val="18"/>
        <w:szCs w:val="16"/>
      </w:rPr>
    </w:pPr>
    <w:r>
      <w:rPr>
        <w:rFonts w:cs="Arial" w:ascii="Arial" w:hAnsi="Arial"/>
        <w:b/>
        <w:bCs/>
        <w:sz w:val="18"/>
        <w:szCs w:val="16"/>
      </w:rPr>
    </w:r>
  </w:p>
  <w:p>
    <w:pPr>
      <w:pStyle w:val="Footer"/>
      <w:jc w:val="both"/>
      <w:rPr>
        <w:rFonts w:ascii="Arial" w:hAnsi="Arial" w:cs="Arial"/>
        <w:b/>
        <w:bCs/>
        <w:sz w:val="18"/>
        <w:szCs w:val="16"/>
      </w:rPr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Arial" w:hAnsi="Arial" w:cs="Arial"/>
        <w:b/>
        <w:bCs/>
        <w:sz w:val="18"/>
        <w:szCs w:val="16"/>
      </w:rPr>
    </w:pPr>
    <w:r>
      <w:rPr>
        <w:rFonts w:cs="Arial" w:ascii="Arial" w:hAnsi="Arial"/>
        <w:b/>
        <w:bCs/>
        <w:sz w:val="18"/>
        <w:szCs w:val="16"/>
      </w:rPr>
    </w:r>
  </w:p>
  <w:p>
    <w:pPr>
      <w:pStyle w:val="Footer"/>
      <w:jc w:val="both"/>
      <w:rPr>
        <w:rFonts w:ascii="Arial" w:hAnsi="Arial" w:cs="Arial"/>
        <w:b/>
        <w:bCs/>
        <w:sz w:val="18"/>
        <w:szCs w:val="16"/>
      </w:rPr>
    </w:pPr>
    <w:r>
      <w:rPr>
        <w:rFonts w:cs="Arial" w:ascii="Arial" w:hAnsi="Arial"/>
        <w:b/>
        <w:bCs/>
        <w:sz w:val="18"/>
        <w:szCs w:val="16"/>
      </w:rPr>
    </w:r>
  </w:p>
  <w:p>
    <w:pPr>
      <w:pStyle w:val="Footer"/>
      <w:jc w:val="both"/>
      <w:rPr>
        <w:rFonts w:ascii="Arial" w:hAnsi="Arial" w:cs="Arial"/>
        <w:b/>
        <w:bCs/>
        <w:sz w:val="18"/>
        <w:szCs w:val="16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930" w:type="dxa"/>
      <w:jc w:val="left"/>
      <w:tblInd w:w="4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noVBand="1" w:lastRow="0" w:firstColumn="1" w:lastColumn="0" w:noHBand="0"/>
    </w:tblPr>
    <w:tblGrid>
      <w:gridCol w:w="60"/>
      <w:gridCol w:w="9870"/>
    </w:tblGrid>
    <w:tr>
      <w:trPr>
        <w:trHeight w:val="225" w:hRule="atLeast"/>
      </w:trPr>
      <w:tc>
        <w:tcPr>
          <w:tcW w:w="60" w:type="dxa"/>
          <w:vMerge w:val="restart"/>
          <w:tcBorders/>
          <w:shd w:color="auto" w:fill="FFFFFF" w:val="clear"/>
        </w:tcPr>
        <w:p>
          <w:pPr>
            <w:pStyle w:val="Contenutotabellauser"/>
            <w:rPr/>
          </w:pPr>
          <w:r>
            <w:rPr/>
          </w:r>
        </w:p>
      </w:tc>
      <w:tc>
        <w:tcPr>
          <w:tcW w:w="9870" w:type="dxa"/>
          <w:tcBorders/>
          <w:shd w:color="auto" w:fill="FFFFFF" w:val="clear"/>
        </w:tcPr>
        <w:p>
          <w:pPr>
            <w:pStyle w:val="Contenutotabellauser"/>
            <w:jc w:val="right"/>
            <w:rPr>
              <w:sz w:val="4"/>
              <w:szCs w:val="4"/>
            </w:rPr>
          </w:pPr>
          <w:r>
            <w:rPr>
              <w:sz w:val="4"/>
              <w:szCs w:val="4"/>
            </w:rPr>
          </w:r>
        </w:p>
        <w:p>
          <w:pPr>
            <w:pStyle w:val="Contenutotabellauser"/>
            <w:jc w:val="right"/>
            <w:rPr>
              <w:sz w:val="4"/>
              <w:szCs w:val="4"/>
            </w:rPr>
          </w:pPr>
          <w:r>
            <w:rPr>
              <w:sz w:val="4"/>
              <w:szCs w:val="4"/>
            </w:rPr>
          </w:r>
        </w:p>
      </w:tc>
    </w:tr>
    <w:tr>
      <w:trPr/>
      <w:tc>
        <w:tcPr>
          <w:tcW w:w="60" w:type="dxa"/>
          <w:vMerge w:val="continue"/>
          <w:tcBorders/>
          <w:shd w:color="auto" w:fill="FFFFFF" w:val="clear"/>
        </w:tcPr>
        <w:p>
          <w:pPr>
            <w:pStyle w:val="Normale1"/>
            <w:rPr/>
          </w:pPr>
          <w:r>
            <w:rPr/>
          </w:r>
        </w:p>
      </w:tc>
      <w:tc>
        <w:tcPr>
          <w:tcW w:w="9870" w:type="dxa"/>
          <w:tcBorders/>
          <w:shd w:color="auto" w:fill="FFFFFF" w:val="clear"/>
        </w:tcPr>
        <w:p>
          <w:pPr>
            <w:pStyle w:val="Contenutotabellauser"/>
            <w:jc w:val="center"/>
            <w:rPr>
              <w:rFonts w:ascii="Arial" w:hAnsi="Arial"/>
              <w:b w:val="false"/>
              <w:bCs w:val="false"/>
              <w:sz w:val="28"/>
              <w:szCs w:val="28"/>
            </w:rPr>
          </w:pPr>
          <w:r>
            <w:rPr>
              <w:rFonts w:ascii="Arial" w:hAnsi="Arial"/>
              <w:b w:val="false"/>
              <w:bCs w:val="false"/>
              <w:sz w:val="28"/>
              <w:szCs w:val="28"/>
            </w:rPr>
            <w:t>CURRICULUM VITAE</w:t>
          </w:r>
        </w:p>
        <w:p>
          <w:pPr>
            <w:pStyle w:val="Contenutotabellauser"/>
            <w:jc w:val="center"/>
            <w:rPr>
              <w:rFonts w:ascii="Arial" w:hAnsi="Arial"/>
              <w:b w:val="false"/>
              <w:bCs w:val="false"/>
              <w:sz w:val="28"/>
              <w:szCs w:val="28"/>
            </w:rPr>
          </w:pPr>
          <w:r>
            <w:rPr>
              <w:rFonts w:ascii="Arial" w:hAnsi="Arial"/>
              <w:b w:val="false"/>
              <w:bCs w:val="false"/>
              <w:sz w:val="28"/>
              <w:szCs w:val="28"/>
            </w:rPr>
            <w:t>di Gabriele Simongini</w:t>
          </w:r>
        </w:p>
      </w:tc>
    </w:tr>
  </w:tbl>
  <w:p>
    <w:pPr>
      <w:pStyle w:val="Header"/>
      <w:rPr>
        <w:sz w:val="4"/>
        <w:szCs w:val="4"/>
      </w:rPr>
    </w:pPr>
    <w:r>
      <w:rPr>
        <w:sz w:val="4"/>
        <w:szCs w:val="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930" w:type="dxa"/>
      <w:jc w:val="left"/>
      <w:tblInd w:w="4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noVBand="1" w:lastRow="0" w:firstColumn="1" w:lastColumn="0" w:noHBand="0"/>
    </w:tblPr>
    <w:tblGrid>
      <w:gridCol w:w="60"/>
      <w:gridCol w:w="9870"/>
    </w:tblGrid>
    <w:tr>
      <w:trPr>
        <w:trHeight w:val="225" w:hRule="atLeast"/>
      </w:trPr>
      <w:tc>
        <w:tcPr>
          <w:tcW w:w="60" w:type="dxa"/>
          <w:vMerge w:val="restart"/>
          <w:tcBorders/>
          <w:shd w:color="auto" w:fill="FFFFFF" w:val="clear"/>
        </w:tcPr>
        <w:p>
          <w:pPr>
            <w:pStyle w:val="Contenutotabellauser"/>
            <w:rPr/>
          </w:pPr>
          <w:r>
            <w:rPr/>
          </w:r>
        </w:p>
      </w:tc>
      <w:tc>
        <w:tcPr>
          <w:tcW w:w="9870" w:type="dxa"/>
          <w:tcBorders/>
          <w:shd w:color="auto" w:fill="FFFFFF" w:val="clear"/>
        </w:tcPr>
        <w:p>
          <w:pPr>
            <w:pStyle w:val="Contenutotabellauser"/>
            <w:jc w:val="right"/>
            <w:rPr>
              <w:sz w:val="4"/>
              <w:szCs w:val="4"/>
            </w:rPr>
          </w:pPr>
          <w:r>
            <w:rPr>
              <w:sz w:val="4"/>
              <w:szCs w:val="4"/>
            </w:rPr>
          </w:r>
        </w:p>
        <w:p>
          <w:pPr>
            <w:pStyle w:val="Contenutotabellauser"/>
            <w:jc w:val="right"/>
            <w:rPr>
              <w:sz w:val="4"/>
              <w:szCs w:val="4"/>
            </w:rPr>
          </w:pPr>
          <w:r>
            <w:rPr>
              <w:sz w:val="4"/>
              <w:szCs w:val="4"/>
            </w:rPr>
          </w:r>
        </w:p>
      </w:tc>
    </w:tr>
    <w:tr>
      <w:trPr/>
      <w:tc>
        <w:tcPr>
          <w:tcW w:w="60" w:type="dxa"/>
          <w:vMerge w:val="continue"/>
          <w:tcBorders/>
          <w:shd w:color="auto" w:fill="FFFFFF" w:val="clear"/>
        </w:tcPr>
        <w:p>
          <w:pPr>
            <w:pStyle w:val="Normale1"/>
            <w:rPr/>
          </w:pPr>
          <w:r>
            <w:rPr/>
          </w:r>
        </w:p>
      </w:tc>
      <w:tc>
        <w:tcPr>
          <w:tcW w:w="9870" w:type="dxa"/>
          <w:tcBorders/>
          <w:shd w:color="auto" w:fill="FFFFFF" w:val="clear"/>
        </w:tcPr>
        <w:p>
          <w:pPr>
            <w:pStyle w:val="Contenutotabellauser"/>
            <w:jc w:val="center"/>
            <w:rPr>
              <w:rFonts w:ascii="Arial" w:hAnsi="Arial"/>
              <w:b w:val="false"/>
              <w:bCs w:val="false"/>
              <w:sz w:val="28"/>
              <w:szCs w:val="28"/>
            </w:rPr>
          </w:pPr>
          <w:r>
            <w:rPr>
              <w:rFonts w:ascii="Arial" w:hAnsi="Arial"/>
              <w:b w:val="false"/>
              <w:bCs w:val="false"/>
              <w:sz w:val="28"/>
              <w:szCs w:val="28"/>
            </w:rPr>
            <w:t>CURRICULUM VITAE</w:t>
          </w:r>
        </w:p>
        <w:p>
          <w:pPr>
            <w:pStyle w:val="Contenutotabellauser"/>
            <w:jc w:val="center"/>
            <w:rPr>
              <w:rFonts w:ascii="Arial" w:hAnsi="Arial"/>
              <w:b w:val="false"/>
              <w:bCs w:val="false"/>
              <w:sz w:val="28"/>
              <w:szCs w:val="28"/>
            </w:rPr>
          </w:pPr>
          <w:r>
            <w:rPr>
              <w:rFonts w:ascii="Arial" w:hAnsi="Arial"/>
              <w:b w:val="false"/>
              <w:bCs w:val="false"/>
              <w:sz w:val="28"/>
              <w:szCs w:val="28"/>
            </w:rPr>
            <w:t>di Gabriele Simongini</w:t>
          </w:r>
        </w:p>
      </w:tc>
    </w:tr>
  </w:tbl>
  <w:p>
    <w:pPr>
      <w:pStyle w:val="Header"/>
      <w:rPr>
        <w:sz w:val="4"/>
        <w:szCs w:val="4"/>
      </w:rPr>
    </w:pPr>
    <w:r>
      <w:rPr>
        <w:sz w:val="4"/>
        <w:szCs w:val="4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4db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00000A"/>
      <w:kern w:val="0"/>
      <w:sz w:val="24"/>
      <w:szCs w:val="24"/>
      <w:lang w:val="it-IT" w:eastAsia="zh-CN" w:bidi="hi-IN"/>
    </w:rPr>
  </w:style>
  <w:style w:type="paragraph" w:styleId="Heading1">
    <w:name w:val="heading 1"/>
    <w:basedOn w:val="Title"/>
    <w:uiPriority w:val="9"/>
    <w:qFormat/>
    <w:pPr>
      <w:outlineLvl w:val="0"/>
    </w:pPr>
    <w:rPr/>
  </w:style>
  <w:style w:type="paragraph" w:styleId="Heading2">
    <w:name w:val="heading 2"/>
    <w:basedOn w:val="Title"/>
    <w:uiPriority w:val="9"/>
    <w:semiHidden/>
    <w:unhideWhenUsed/>
    <w:qFormat/>
    <w:pPr>
      <w:spacing w:before="200" w:after="120"/>
      <w:outlineLvl w:val="1"/>
    </w:pPr>
    <w:rPr/>
  </w:style>
  <w:style w:type="paragraph" w:styleId="Heading3">
    <w:name w:val="heading 3"/>
    <w:basedOn w:val="Title"/>
    <w:uiPriority w:val="9"/>
    <w:semiHidden/>
    <w:unhideWhenUsed/>
    <w:qFormat/>
    <w:pPr>
      <w:spacing w:before="140" w:after="120"/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edellanota" w:customStyle="1">
    <w:name w:val="Carattere della nota"/>
    <w:qFormat/>
    <w:rPr/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Caratterinotaapidipaginauser">
    <w:name w:val="Caratteri nota a piè di pagina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tterenotadichiusura" w:customStyle="1">
    <w:name w:val="Carattere nota di chiusura"/>
    <w:qFormat/>
    <w:rPr/>
  </w:style>
  <w:style w:type="character" w:styleId="Caratterinotadichiusura" w:customStyle="1">
    <w:name w:val="Caratteri nota di chiusura"/>
    <w:qFormat/>
    <w:rPr>
      <w:vertAlign w:val="superscript"/>
    </w:rPr>
  </w:style>
  <w:style w:type="character" w:styleId="Caratterinotadichiusurauser">
    <w:name w:val="Caratteri nota di chiusura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idipaginaCarattere" w:customStyle="1">
    <w:name w:val="Piè di pagina Carattere"/>
    <w:basedOn w:val="DefaultParagraphFont"/>
    <w:qFormat/>
    <w:rPr>
      <w:rFonts w:cs="Mangal"/>
      <w:szCs w:val="21"/>
    </w:rPr>
  </w:style>
  <w:style w:type="character" w:styleId="Hyperlink" w:customStyle="1">
    <w:name w:val="Hyperlink"/>
    <w:basedOn w:val="DefaultParagraphFont"/>
    <w:uiPriority w:val="99"/>
    <w:unhideWhenUsed/>
    <w:qFormat/>
    <w:rsid w:val="00506775"/>
    <w:rPr>
      <w:color w:themeColor="hyperlink" w:val="0563C1"/>
      <w:u w:val="single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cd0f19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567ec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f0f18"/>
    <w:rPr>
      <w:sz w:val="16"/>
      <w:szCs w:val="16"/>
    </w:rPr>
  </w:style>
  <w:style w:type="character" w:styleId="TestocommentoCarattere" w:customStyle="1">
    <w:name w:val="Testo commento Carattere"/>
    <w:basedOn w:val="DefaultParagraphFont"/>
    <w:uiPriority w:val="99"/>
    <w:semiHidden/>
    <w:qFormat/>
    <w:rsid w:val="000f0f18"/>
    <w:rPr>
      <w:rFonts w:cs="Mangal"/>
      <w:sz w:val="20"/>
      <w:szCs w:val="18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0f0f18"/>
    <w:rPr>
      <w:rFonts w:cs="Mangal"/>
      <w:b/>
      <w:bCs/>
      <w:sz w:val="20"/>
      <w:szCs w:val="18"/>
    </w:rPr>
  </w:style>
  <w:style w:type="character" w:styleId="CorpotestoCarattere" w:customStyle="1">
    <w:name w:val="Corpo testo Carattere"/>
    <w:basedOn w:val="DefaultParagraphFont"/>
    <w:qFormat/>
    <w:rsid w:val="005d7ec0"/>
    <w:rPr/>
  </w:style>
  <w:style w:type="character" w:styleId="FollowedHyperlink">
    <w:name w:val="FollowedHyperlink"/>
    <w:basedOn w:val="DefaultParagraphFont"/>
    <w:uiPriority w:val="99"/>
    <w:semiHidden/>
    <w:unhideWhenUsed/>
    <w:qFormat/>
    <w:rsid w:val="00466a75"/>
    <w:rPr>
      <w:color w:themeColor="followedHyperlink" w:val="954F72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7d1ee7"/>
    <w:rPr>
      <w:rFonts w:ascii="Segoe UI" w:hAnsi="Segoe UI" w:cs="Mangal"/>
      <w:color w:val="00000A"/>
      <w:sz w:val="18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06775"/>
    <w:rPr>
      <w:color w:val="605E5C"/>
      <w:shd w:fill="E1DFDD" w:val="clear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 w:customStyle="1">
    <w:name w:val="Body Text"/>
    <w:basedOn w:val="Normal"/>
    <w:link w:val="CorpotestoCarattere"/>
    <w:qFormat/>
    <w:pPr>
      <w:widowControl w:val="false"/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qFormat/>
    <w:pPr>
      <w:widowControl w:val="false"/>
      <w:suppressLineNumbers/>
      <w:suppressAutoHyphens w:val="true"/>
      <w:bidi w:val="0"/>
      <w:spacing w:before="120" w:after="120"/>
      <w:jc w:val="left"/>
      <w:textAlignment w:val="baseline"/>
    </w:pPr>
    <w:rPr>
      <w:rFonts w:ascii="Liberation Serif" w:hAnsi="Liberation Serif" w:eastAsia="SimSun" w:cs="Lucida Sans"/>
      <w:i/>
      <w:iCs/>
      <w:color w:val="00000A"/>
      <w:kern w:val="0"/>
      <w:sz w:val="24"/>
      <w:szCs w:val="24"/>
      <w:lang w:val="it-IT" w:eastAsia="zh-CN" w:bidi="hi-IN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 w:customStyle="1">
    <w:name w:val="Title"/>
    <w:basedOn w:val="Normal"/>
    <w:next w:val="BodyText"/>
    <w:uiPriority w:val="10"/>
    <w:qFormat/>
    <w:pPr>
      <w:widowControl w:val="false"/>
      <w:jc w:val="center"/>
    </w:pPr>
    <w:rPr>
      <w:b/>
      <w:bCs/>
      <w:sz w:val="56"/>
      <w:szCs w:val="56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 w:customStyle="1">
    <w:name w:val="Indice (user)"/>
    <w:basedOn w:val="Normal"/>
    <w:qFormat/>
    <w:pPr>
      <w:widowControl w:val="false"/>
      <w:suppressLineNumbers/>
    </w:pPr>
    <w:rPr/>
  </w:style>
  <w:style w:type="paragraph" w:styleId="Normale1" w:customStyle="1">
    <w:name w:val="Normale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00000A"/>
      <w:kern w:val="0"/>
      <w:sz w:val="24"/>
      <w:szCs w:val="24"/>
      <w:lang w:val="it-IT" w:eastAsia="zh-CN" w:bidi="hi-IN"/>
    </w:rPr>
  </w:style>
  <w:style w:type="paragraph" w:styleId="Titolo1" w:customStyle="1">
    <w:name w:val="Titolo1"/>
    <w:basedOn w:val="Normale1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itazione1" w:customStyle="1">
    <w:name w:val="Citazione1"/>
    <w:basedOn w:val="Normale1"/>
    <w:qFormat/>
    <w:pPr>
      <w:spacing w:before="0" w:after="283"/>
      <w:ind w:left="567" w:right="567"/>
    </w:pPr>
    <w:rPr/>
  </w:style>
  <w:style w:type="paragraph" w:styleId="Subtitle">
    <w:name w:val="Subtitle"/>
    <w:basedOn w:val="Titolo1"/>
    <w:uiPriority w:val="11"/>
    <w:qFormat/>
    <w:pPr>
      <w:spacing w:before="60" w:after="120"/>
      <w:jc w:val="center"/>
    </w:pPr>
    <w:rPr>
      <w:sz w:val="36"/>
      <w:szCs w:val="36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Normale1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nutotabellauser" w:customStyle="1">
    <w:name w:val="Contenuto tabella (user)"/>
    <w:basedOn w:val="Normale1"/>
    <w:qFormat/>
    <w:pPr>
      <w:suppressLineNumbers/>
    </w:pPr>
    <w:rPr/>
  </w:style>
  <w:style w:type="paragraph" w:styleId="Titolotabellauser" w:customStyle="1">
    <w:name w:val="Titolo tabella (user)"/>
    <w:basedOn w:val="Contenutotabellauser"/>
    <w:qFormat/>
    <w:pPr>
      <w:jc w:val="center"/>
    </w:pPr>
    <w:rPr>
      <w:b/>
      <w:bCs/>
    </w:rPr>
  </w:style>
  <w:style w:type="paragraph" w:styleId="Footer">
    <w:name w:val="footer"/>
    <w:basedOn w:val="Normale1"/>
    <w:pPr>
      <w:tabs>
        <w:tab w:val="clear" w:pos="709"/>
        <w:tab w:val="center" w:pos="4819" w:leader="none"/>
        <w:tab w:val="right" w:pos="9638" w:leader="none"/>
      </w:tabs>
    </w:pPr>
    <w:rPr>
      <w:rFonts w:cs="Mangal"/>
      <w:szCs w:val="21"/>
    </w:rPr>
  </w:style>
  <w:style w:type="paragraph" w:styleId="ListParagraph">
    <w:name w:val="List Paragraph"/>
    <w:basedOn w:val="Normal"/>
    <w:uiPriority w:val="34"/>
    <w:qFormat/>
    <w:rsid w:val="009e1684"/>
    <w:pPr>
      <w:widowControl w:val="false"/>
      <w:spacing w:before="0" w:after="0"/>
      <w:ind w:left="720"/>
      <w:contextualSpacing/>
      <w:textAlignment w:val="auto"/>
    </w:pPr>
    <w:rPr>
      <w:rFonts w:ascii="Times New Roman" w:hAnsi="Times New Roman" w:eastAsia="Andale Sans UI" w:cs="Tahoma"/>
      <w:lang w:eastAsia="en-US" w:bidi="en-US"/>
    </w:rPr>
  </w:style>
  <w:style w:type="paragraph" w:styleId="western" w:customStyle="1">
    <w:name w:val="western"/>
    <w:basedOn w:val="Normal"/>
    <w:qFormat/>
    <w:rsid w:val="002e7f57"/>
    <w:pPr>
      <w:spacing w:beforeAutospacing="1" w:afterAutospacing="1"/>
      <w:textAlignment w:val="auto"/>
    </w:pPr>
    <w:rPr>
      <w:rFonts w:ascii="Times New Roman" w:hAnsi="Times New Roman" w:eastAsia="Times New Roman" w:cs="Times New Roman"/>
      <w:lang w:eastAsia="it-IT" w:bidi="ar-SA"/>
    </w:rPr>
  </w:style>
  <w:style w:type="paragraph" w:styleId="NormalWeb">
    <w:name w:val="Normal (Web)"/>
    <w:basedOn w:val="Normal"/>
    <w:uiPriority w:val="99"/>
    <w:qFormat/>
    <w:rsid w:val="00567ec2"/>
    <w:pPr/>
    <w:rPr>
      <w:rFonts w:ascii="Times New Roman" w:hAnsi="Times New Roman" w:eastAsia="Times New Roman" w:cs="Times New Roman"/>
      <w:sz w:val="20"/>
      <w:szCs w:val="20"/>
      <w:lang w:eastAsia="it-IT" w:bidi="ar-SA"/>
    </w:rPr>
  </w:style>
  <w:style w:type="paragraph" w:styleId="CommentText">
    <w:name w:val="annotation text"/>
    <w:basedOn w:val="Normal"/>
    <w:link w:val="TestocommentoCarattere"/>
    <w:uiPriority w:val="99"/>
    <w:semiHidden/>
    <w:unhideWhenUsed/>
    <w:qFormat/>
    <w:rsid w:val="000f0f18"/>
    <w:pPr/>
    <w:rPr>
      <w:rFonts w:cs="Mangal"/>
      <w:sz w:val="20"/>
      <w:szCs w:val="18"/>
    </w:rPr>
  </w:style>
  <w:style w:type="paragraph" w:styleId="annotationsubject">
    <w:name w:val="annotation subject"/>
    <w:basedOn w:val="CommentText"/>
    <w:link w:val="SoggettocommentoCarattere"/>
    <w:uiPriority w:val="99"/>
    <w:semiHidden/>
    <w:unhideWhenUsed/>
    <w:qFormat/>
    <w:rsid w:val="000f0f18"/>
    <w:pPr/>
    <w:rPr>
      <w:b/>
      <w:bCs/>
    </w:rPr>
  </w:style>
  <w:style w:type="paragraph" w:styleId="Citazioneinblocco" w:customStyle="1">
    <w:name w:val="Citazione in blocco"/>
    <w:basedOn w:val="Normal"/>
    <w:qFormat/>
    <w:pPr/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7d1ee7"/>
    <w:pPr/>
    <w:rPr>
      <w:rFonts w:ascii="Segoe UI" w:hAnsi="Segoe UI" w:cs="Mangal"/>
      <w:sz w:val="18"/>
      <w:szCs w:val="16"/>
    </w:rPr>
  </w:style>
  <w:style w:type="paragraph" w:styleId="Default">
    <w:name w:val="Default"/>
    <w:qFormat/>
    <w:pPr>
      <w:widowControl/>
      <w:bidi w:val="0"/>
      <w:spacing w:before="0" w:after="0"/>
      <w:jc w:val="left"/>
    </w:pPr>
    <w:rPr>
      <w:rFonts w:ascii="Calibri" w:hAnsi="Calibri" w:eastAsia="SimSun" w:cs="Lucida Sans"/>
      <w:color w:val="000000"/>
      <w:kern w:val="0"/>
      <w:sz w:val="24"/>
      <w:szCs w:val="24"/>
      <w:lang w:val="it-IT" w:eastAsia="zh-CN" w:bidi="hi-IN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c555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064D7-3D32-4196-8AB1-EE0325E5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Application>LibreOffice/26.2.4.2$Windows_X86_64 LibreOffice_project/0229ac93fcf0d7cbc6376066c6f35021cef002dc</Application>
  <AppVersion>15.0000</AppVersion>
  <Pages>1</Pages>
  <Words>464</Words>
  <Characters>2787</Characters>
  <CharactersWithSpaces>3245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2026-07-06T09:43:00Z</dcterms:created>
  <dc:creator>Gabriele Simongini</dc:creator>
  <dc:description/>
  <dc:language>it-IT</dc:language>
  <cp:lastModifiedBy/>
  <cp:lastPrinted>2026-07-02T15:39:50Z</cp:lastPrinted>
  <dcterms:modified xsi:type="dcterms:W3CDTF">2026-07-07T10:32:08Z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